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1" w:rsidRPr="00916A71" w:rsidRDefault="00916A71" w:rsidP="00916A71">
      <w:pPr>
        <w:pStyle w:val="NormalnyWeb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916A71">
        <w:rPr>
          <w:b/>
          <w:color w:val="000000"/>
          <w:sz w:val="27"/>
          <w:szCs w:val="27"/>
        </w:rPr>
        <w:t>WYMAGANIA EDUKACYJNE</w:t>
      </w:r>
    </w:p>
    <w:p w:rsidR="00916A71" w:rsidRPr="00916A71" w:rsidRDefault="00916A71" w:rsidP="00916A71">
      <w:pPr>
        <w:pStyle w:val="NormalnyWeb"/>
        <w:jc w:val="center"/>
        <w:rPr>
          <w:b/>
          <w:color w:val="000000"/>
          <w:sz w:val="27"/>
          <w:szCs w:val="27"/>
        </w:rPr>
      </w:pPr>
      <w:r w:rsidRPr="00916A71">
        <w:rPr>
          <w:b/>
          <w:color w:val="000000"/>
          <w:sz w:val="27"/>
          <w:szCs w:val="27"/>
        </w:rPr>
        <w:t>ZAWARTE W PLANIE WYNIKOWYM</w:t>
      </w:r>
    </w:p>
    <w:p w:rsidR="00916A71" w:rsidRPr="00916A71" w:rsidRDefault="00916A71" w:rsidP="00916A71">
      <w:pPr>
        <w:pStyle w:val="NormalnyWeb"/>
        <w:jc w:val="center"/>
        <w:rPr>
          <w:b/>
          <w:color w:val="000000"/>
          <w:sz w:val="27"/>
          <w:szCs w:val="27"/>
        </w:rPr>
      </w:pPr>
      <w:r w:rsidRPr="00916A71">
        <w:rPr>
          <w:b/>
          <w:color w:val="000000"/>
          <w:sz w:val="27"/>
          <w:szCs w:val="27"/>
        </w:rPr>
        <w:t>Z BIOLOGII</w:t>
      </w:r>
    </w:p>
    <w:p w:rsidR="00916A71" w:rsidRPr="00916A71" w:rsidRDefault="00916A71" w:rsidP="00916A71">
      <w:pPr>
        <w:pStyle w:val="NormalnyWeb"/>
        <w:jc w:val="center"/>
        <w:rPr>
          <w:b/>
          <w:color w:val="000000"/>
          <w:sz w:val="27"/>
          <w:szCs w:val="27"/>
        </w:rPr>
      </w:pPr>
      <w:r w:rsidRPr="00916A71">
        <w:rPr>
          <w:b/>
          <w:color w:val="000000"/>
          <w:sz w:val="27"/>
          <w:szCs w:val="27"/>
        </w:rPr>
        <w:t>W KLASIE 6</w:t>
      </w:r>
    </w:p>
    <w:p w:rsidR="00916A71" w:rsidRDefault="00916A71" w:rsidP="00916A7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916A71" w:rsidRDefault="00916A71" w:rsidP="00916A7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Program nauczania biologii w klasach 5-8 szkoły podstawowej – „Puls życia”</w:t>
      </w:r>
    </w:p>
    <w:p w:rsidR="00916A71" w:rsidRDefault="00916A71" w:rsidP="00916A7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Autorzy: Anna </w:t>
      </w:r>
      <w:proofErr w:type="spellStart"/>
      <w:r>
        <w:rPr>
          <w:color w:val="000000"/>
          <w:sz w:val="27"/>
          <w:szCs w:val="27"/>
        </w:rPr>
        <w:t>Zdziennicka</w:t>
      </w:r>
      <w:proofErr w:type="spellEnd"/>
    </w:p>
    <w:p w:rsidR="00916A71" w:rsidRDefault="00916A71" w:rsidP="00916A7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Poziom wymagań edukacyjnych:</w:t>
      </w:r>
    </w:p>
    <w:p w:rsidR="00916A71" w:rsidRDefault="00916A71" w:rsidP="00916A7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dopuszczająca i dostateczna) PP – ponadpodstawowy (ocena dobra, bardzo dobra, celująca)</w:t>
      </w:r>
    </w:p>
    <w:p w:rsidR="00916A71" w:rsidRDefault="00916A71" w:rsidP="00916A7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Poziom wymagań edukacyjnych:</w:t>
      </w:r>
    </w:p>
    <w:p w:rsidR="00916A71" w:rsidRDefault="00916A71" w:rsidP="00916A7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– konieczny (ocena dopuszczająca) (2) P – podstawowy (ocena dostateczna) (3) R – rozszerzający (ocena dobra) (4) D – dopełniający (ocena bardzo dobra) (5) W – wykraczający (ocena celująca) (6)</w:t>
      </w:r>
    </w:p>
    <w:p w:rsidR="00916A71" w:rsidRDefault="00916A71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916A71" w:rsidRDefault="00916A71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916A71" w:rsidRDefault="00916A71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916A71" w:rsidRDefault="00916A71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916A71" w:rsidRDefault="00916A71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916A71" w:rsidRDefault="00916A71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916A71" w:rsidRDefault="00916A71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916A71" w:rsidRDefault="00916A71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właściwości i funkcje tkanki kostnej,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proofErr w:type="spellStart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skorupiaków w </w:t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kręgowce środowisk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ryby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ryb w budowie zewnętrznej 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17. Gady – kręgowce, które </w:t>
            </w: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związek istniejący między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gadów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rozmnażanie i rozwój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pokrycie ciała gadów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C0" w:rsidRDefault="00D61BC0" w:rsidP="00BE283B">
      <w:r>
        <w:separator/>
      </w:r>
    </w:p>
  </w:endnote>
  <w:endnote w:type="continuationSeparator" w:id="0">
    <w:p w:rsidR="00D61BC0" w:rsidRDefault="00D61BC0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Roboto">
    <w:altName w:val="Times New Roman"/>
    <w:charset w:val="EE"/>
    <w:family w:val="auto"/>
    <w:pitch w:val="variable"/>
    <w:sig w:usb0="E00002FF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FB683B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916A71">
      <w:rPr>
        <w:noProof/>
      </w:rPr>
      <w:t>1</w:t>
    </w:r>
    <w:r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C0" w:rsidRDefault="00D61BC0" w:rsidP="00BE283B">
      <w:r>
        <w:separator/>
      </w:r>
    </w:p>
  </w:footnote>
  <w:footnote w:type="continuationSeparator" w:id="0">
    <w:p w:rsidR="00D61BC0" w:rsidRDefault="00D61BC0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16A71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B683B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16A71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FC32B-0B49-42E3-A4A6-700F491A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2299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SP Racot</cp:lastModifiedBy>
  <cp:revision>2</cp:revision>
  <cp:lastPrinted>2019-05-20T05:31:00Z</cp:lastPrinted>
  <dcterms:created xsi:type="dcterms:W3CDTF">2025-01-21T20:45:00Z</dcterms:created>
  <dcterms:modified xsi:type="dcterms:W3CDTF">2025-01-21T20:45:00Z</dcterms:modified>
</cp:coreProperties>
</file>